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09" w:right="709" w:firstLine="0"/>
        <w:jc w:val="center"/>
        <w:spacing w:after="0" w:line="238" w:lineRule="exact"/>
        <w:tabs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ОЯСНИТЕЛЬНАЯ ЗАПИСКА</w:t>
      </w:r>
      <w:r/>
    </w:p>
    <w:p>
      <w:pPr>
        <w:ind w:left="709" w:right="709" w:firstLine="0"/>
        <w:jc w:val="center"/>
        <w:spacing w:after="0" w:line="238" w:lineRule="exact"/>
        <w:tabs>
          <w:tab w:val="left" w:pos="864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закона Алтайского края «О внесении изменений в закон Алтайского края 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регулировании отдельных отношений в сфере розничной продажи алкогольной </w:t>
        <w:br/>
        <w:t xml:space="preserve">и спиртосодержащей продукции на территории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</w:r>
      <w:r/>
    </w:p>
    <w:p>
      <w:pPr>
        <w:ind w:left="0" w:right="1" w:firstLine="708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соответствии со статьей 16 Федерального закона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22.11.1995 </w:t>
        <w:br/>
        <w:t xml:space="preserve">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органы государ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ственной власти субъектов Российской Федерации вправе устанавливать дополнительные ограничения времени, условий и мест розничной продажи алкогольной продукции, за исключением розничной продажи алкогольной продукции при оказании услуг общественного </w:t>
        <w:br/>
        <w:t xml:space="preserve">питания,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если иное не установлено указанной статьей, в том числе полный запрет на розничную продажу алкогольной продукции, за исключением розничной продажи алкогольной продукции при оказании услуг общественного питания, 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сли иное не установлено вышеназванной статьей. </w:t>
      </w: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ind w:left="0" w:right="1" w:firstLine="708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аконопроектом предлагается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установить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территории края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запрет на розничную продажу алкогольной продукции (за исключением розничной продажи алкогольной продукции при оказании услуг общественного </w:t>
        <w:br/>
        <w:t xml:space="preserve">питания) 9 мая (День Победы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),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дни, посвященные празднованию </w:t>
        <w:br/>
        <w:t xml:space="preserve">Дня города, района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(округа)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, села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(поселка)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Введение запрета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будет способствовать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снижению уровня потребления алкогольной продукции,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 также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соблюдению общественного порядка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дни проведения массовых мероприятий.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lang w:eastAsia="ru-RU"/>
        </w:rPr>
      </w:r>
      <w:r/>
    </w:p>
    <w:p>
      <w:pPr>
        <w:ind w:left="0" w:right="1" w:firstLine="708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Настоящий законопроект был принят в первом чтении на 27 </w:t>
        <w:br/>
        <w:t xml:space="preserve">(январской) сессии Алтайского краевого Законодательного Собрания. Замечаний и предложений по проекту не поступило, при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доработке проекта ко второму чтению учтена динамика федерального законодательства.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</w:p>
    <w:p>
      <w:pPr>
        <w:ind w:left="0" w:right="1" w:firstLine="708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6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Реализация закона не потребует дополнительных расходов краевого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бюджета.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8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Губернатор Алтайского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Прокурор Алтайского края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highlight w:val="none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______________ В.П. Томенко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____________ А.А. Герман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left="0" w:right="0" w:firstLine="0"/>
        <w:jc w:val="both"/>
        <w:spacing w:after="0" w:line="240" w:lineRule="auto"/>
        <w:shd w:val="clear" w:color="ffffff" w:fill="ffffff"/>
        <w:widowControl w:val="off"/>
        <w:rPr>
          <w:rFonts w:ascii="Times New Roman" w:hAnsi="Times New Roman" w:eastAsia="Times New Roman" w:cs="Times New Roman"/>
          <w:sz w:val="28"/>
          <w:szCs w:val="28"/>
          <w:lang w:eastAsia="ru-RU"/>
        </w:rPr>
        <w:pBdr>
          <w:top w:val="single" w:color="FFFFFF" w:sz="4" w:space="0"/>
          <w:left w:val="single" w:color="FFFFFF" w:sz="4" w:space="0"/>
          <w:bottom w:val="single" w:color="FFFFFF" w:sz="4" w:space="28"/>
          <w:right w:val="single" w:color="FFFFFF" w:sz="4" w:space="9"/>
        </w:pBd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mbria">
    <w:panose1 w:val="02040503050406030204"/>
  </w:font>
  <w:font w:name="Arial">
    <w:panose1 w:val="020B06040202020202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813"/>
    <w:link w:val="812"/>
    <w:uiPriority w:val="9"/>
    <w:rPr>
      <w:rFonts w:ascii="Arial" w:hAnsi="Arial" w:eastAsia="Arial" w:cs="Arial"/>
      <w:sz w:val="40"/>
      <w:szCs w:val="40"/>
    </w:rPr>
  </w:style>
  <w:style w:type="paragraph" w:styleId="635">
    <w:name w:val="Heading 2"/>
    <w:basedOn w:val="811"/>
    <w:next w:val="811"/>
    <w:link w:val="63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6">
    <w:name w:val="Heading 2 Char"/>
    <w:basedOn w:val="813"/>
    <w:link w:val="635"/>
    <w:uiPriority w:val="9"/>
    <w:rPr>
      <w:rFonts w:ascii="Arial" w:hAnsi="Arial" w:eastAsia="Arial" w:cs="Arial"/>
      <w:sz w:val="34"/>
    </w:rPr>
  </w:style>
  <w:style w:type="paragraph" w:styleId="637">
    <w:name w:val="Heading 3"/>
    <w:basedOn w:val="811"/>
    <w:next w:val="811"/>
    <w:link w:val="63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8">
    <w:name w:val="Heading 3 Char"/>
    <w:basedOn w:val="813"/>
    <w:link w:val="637"/>
    <w:uiPriority w:val="9"/>
    <w:rPr>
      <w:rFonts w:ascii="Arial" w:hAnsi="Arial" w:eastAsia="Arial" w:cs="Arial"/>
      <w:sz w:val="30"/>
      <w:szCs w:val="30"/>
    </w:rPr>
  </w:style>
  <w:style w:type="paragraph" w:styleId="639">
    <w:name w:val="Heading 4"/>
    <w:basedOn w:val="811"/>
    <w:next w:val="811"/>
    <w:link w:val="6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0">
    <w:name w:val="Heading 4 Char"/>
    <w:basedOn w:val="813"/>
    <w:link w:val="639"/>
    <w:uiPriority w:val="9"/>
    <w:rPr>
      <w:rFonts w:ascii="Arial" w:hAnsi="Arial" w:eastAsia="Arial" w:cs="Arial"/>
      <w:b/>
      <w:bCs/>
      <w:sz w:val="26"/>
      <w:szCs w:val="26"/>
    </w:rPr>
  </w:style>
  <w:style w:type="paragraph" w:styleId="641">
    <w:name w:val="Heading 5"/>
    <w:basedOn w:val="811"/>
    <w:next w:val="811"/>
    <w:link w:val="64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2">
    <w:name w:val="Heading 5 Char"/>
    <w:basedOn w:val="813"/>
    <w:link w:val="641"/>
    <w:uiPriority w:val="9"/>
    <w:rPr>
      <w:rFonts w:ascii="Arial" w:hAnsi="Arial" w:eastAsia="Arial" w:cs="Arial"/>
      <w:b/>
      <w:bCs/>
      <w:sz w:val="24"/>
      <w:szCs w:val="24"/>
    </w:rPr>
  </w:style>
  <w:style w:type="paragraph" w:styleId="643">
    <w:name w:val="Heading 6"/>
    <w:basedOn w:val="811"/>
    <w:next w:val="811"/>
    <w:link w:val="6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4">
    <w:name w:val="Heading 6 Char"/>
    <w:basedOn w:val="813"/>
    <w:link w:val="643"/>
    <w:uiPriority w:val="9"/>
    <w:rPr>
      <w:rFonts w:ascii="Arial" w:hAnsi="Arial" w:eastAsia="Arial" w:cs="Arial"/>
      <w:b/>
      <w:bCs/>
      <w:sz w:val="22"/>
      <w:szCs w:val="22"/>
    </w:rPr>
  </w:style>
  <w:style w:type="paragraph" w:styleId="645">
    <w:name w:val="Heading 7"/>
    <w:basedOn w:val="811"/>
    <w:next w:val="811"/>
    <w:link w:val="64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6">
    <w:name w:val="Heading 7 Char"/>
    <w:basedOn w:val="813"/>
    <w:link w:val="64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7">
    <w:name w:val="Heading 8"/>
    <w:basedOn w:val="811"/>
    <w:next w:val="811"/>
    <w:link w:val="64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8">
    <w:name w:val="Heading 8 Char"/>
    <w:basedOn w:val="813"/>
    <w:link w:val="647"/>
    <w:uiPriority w:val="9"/>
    <w:rPr>
      <w:rFonts w:ascii="Arial" w:hAnsi="Arial" w:eastAsia="Arial" w:cs="Arial"/>
      <w:i/>
      <w:iCs/>
      <w:sz w:val="22"/>
      <w:szCs w:val="22"/>
    </w:rPr>
  </w:style>
  <w:style w:type="paragraph" w:styleId="649">
    <w:name w:val="Heading 9"/>
    <w:basedOn w:val="811"/>
    <w:next w:val="811"/>
    <w:link w:val="65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0">
    <w:name w:val="Heading 9 Char"/>
    <w:basedOn w:val="813"/>
    <w:link w:val="649"/>
    <w:uiPriority w:val="9"/>
    <w:rPr>
      <w:rFonts w:ascii="Arial" w:hAnsi="Arial" w:eastAsia="Arial" w:cs="Arial"/>
      <w:i/>
      <w:iCs/>
      <w:sz w:val="21"/>
      <w:szCs w:val="21"/>
    </w:rPr>
  </w:style>
  <w:style w:type="paragraph" w:styleId="651">
    <w:name w:val="List Paragraph"/>
    <w:basedOn w:val="811"/>
    <w:uiPriority w:val="34"/>
    <w:qFormat/>
    <w:pPr>
      <w:contextualSpacing/>
      <w:ind w:left="720"/>
    </w:pPr>
  </w:style>
  <w:style w:type="paragraph" w:styleId="652">
    <w:name w:val="No Spacing"/>
    <w:uiPriority w:val="1"/>
    <w:qFormat/>
    <w:pPr>
      <w:spacing w:before="0" w:after="0" w:line="240" w:lineRule="auto"/>
    </w:pPr>
  </w:style>
  <w:style w:type="paragraph" w:styleId="653">
    <w:name w:val="Title"/>
    <w:basedOn w:val="811"/>
    <w:next w:val="811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3"/>
    <w:link w:val="653"/>
    <w:uiPriority w:val="10"/>
    <w:rPr>
      <w:sz w:val="48"/>
      <w:szCs w:val="48"/>
    </w:rPr>
  </w:style>
  <w:style w:type="paragraph" w:styleId="655">
    <w:name w:val="Subtitle"/>
    <w:basedOn w:val="811"/>
    <w:next w:val="811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3"/>
    <w:link w:val="655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uiPriority w:val="30"/>
    <w:qFormat/>
    <w:pPr>
      <w:contextualSpacing w:val="0"/>
      <w:ind w:left="720" w:right="720"/>
      <w:shd w:val="clear" w:color="f2f2f2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3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3"/>
    <w:link w:val="663"/>
    <w:uiPriority w:val="99"/>
  </w:style>
  <w:style w:type="paragraph" w:styleId="665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9e2f2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fc8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5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4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bfbfbf" w:fill="bfbfbf" w:themeFill="text1" w:themeFillTint="40"/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d9e2f2" w:fill="d9e2f2" w:themeFill="accent1" w:themeFillTint="34"/>
    </w:tblPr>
    <w:tblStylePr w:type="band1Horz">
      <w:tcPr>
        <w:shd w:val="clear" w:color="aabfe3" w:fill="aabfe3" w:themeFill="accent1" w:themeFillTint="75"/>
      </w:tcPr>
    </w:tblStylePr>
    <w:tblStylePr w:type="band1Vert">
      <w:tcPr>
        <w:shd w:val="clear" w:color="aabfe3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4472c4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be5d6" w:fill="fbe5d6" w:themeFill="accent2" w:themeFillTint="32"/>
    </w:tblPr>
    <w:tblStylePr w:type="band1Horz">
      <w:tcPr>
        <w:shd w:val="clear" w:color="f6c3a1" w:fill="f6c3a1" w:themeFill="accent2" w:themeFillTint="75"/>
      </w:tcPr>
    </w:tblStylePr>
    <w:tblStylePr w:type="band1Vert">
      <w:tcPr>
        <w:shd w:val="clear" w:color="f6c3a1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ededed" w:fill="ededed" w:themeFill="accent3" w:themeFillTint="34"/>
    </w:tblPr>
    <w:tblStylePr w:type="band1Horz">
      <w:tcPr>
        <w:shd w:val="clear" w:color="d6d6d6" w:fill="d6d6d6" w:themeFill="accent3" w:themeFillTint="75"/>
      </w:tcPr>
    </w:tblStylePr>
    <w:tblStylePr w:type="band1Vert">
      <w:tcPr>
        <w:shd w:val="clear" w:color="d6d6d6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ef2cb" w:fill="fef2cb" w:themeFill="accent4" w:themeFillTint="34"/>
    </w:tblPr>
    <w:tblStylePr w:type="band1Horz">
      <w:tcPr>
        <w:shd w:val="clear" w:color="fee189" w:fill="fee189" w:themeFill="accent4" w:themeFillTint="75"/>
      </w:tcPr>
    </w:tblStylePr>
    <w:tblStylePr w:type="band1Vert">
      <w:tcPr>
        <w:shd w:val="clear" w:color="fee189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ddebf6" w:fill="ddebf6" w:themeFill="accent5" w:themeFillTint="34"/>
    </w:tblPr>
    <w:tblStylePr w:type="band1Horz">
      <w:tcPr>
        <w:shd w:val="clear" w:color="b4d2eb" w:fill="b4d2eb" w:themeFill="accent5" w:themeFillTint="75"/>
      </w:tcPr>
    </w:tblStylePr>
    <w:tblStylePr w:type="band1Vert">
      <w:tcPr>
        <w:shd w:val="clear" w:color="b4d2eb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5b9bd5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e2efd8" w:fill="e2efd8" w:themeFill="accent6" w:themeFillTint="34"/>
    </w:tblPr>
    <w:tblStylePr w:type="band1Horz">
      <w:tcPr>
        <w:shd w:val="clear" w:color="bedba8" w:fill="bedba8" w:themeFill="accent6" w:themeFillTint="75"/>
      </w:tcPr>
    </w:tblStylePr>
    <w:tblStylePr w:type="band1Vert">
      <w:tcPr>
        <w:shd w:val="clear" w:color="bedba8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d9e2f2" w:fill="d9e2f2" w:themeFill="accent1" w:themeFillTint="34"/>
      </w:tcPr>
    </w:tblStylePr>
    <w:tblStylePr w:type="band1Vert">
      <w:tcPr>
        <w:shd w:val="clear" w:color="d9e2f2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ededed" w:fill="ededed" w:themeFill="accent3" w:themeFillTint="34"/>
      </w:tcPr>
    </w:tblStylePr>
    <w:tblStylePr w:type="band1Vert">
      <w:tcPr>
        <w:shd w:val="clear" w:color="ededed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ef2cb" w:fill="fef2cb" w:themeFill="accent4" w:themeFillTint="34"/>
      </w:tcPr>
    </w:tblStylePr>
    <w:tblStylePr w:type="band1Vert">
      <w:tcPr>
        <w:shd w:val="clear" w:color="fef2cb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ddebf6" w:fill="ddebf6" w:themeFill="accent5" w:themeFillTint="34"/>
      </w:tcPr>
    </w:tblStylePr>
    <w:tblStylePr w:type="band1Vert">
      <w:tcPr>
        <w:shd w:val="clear" w:color="ddebf6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e2efd8" w:fill="e2efd8" w:themeFill="accent6" w:themeFillTint="34"/>
      </w:tcPr>
    </w:tblStylePr>
    <w:tblStylePr w:type="band1Vert">
      <w:tcPr>
        <w:shd w:val="clear" w:color="e2efd8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2f2f2" w:fill="f2f2f2" w:themeFill="text1" w:themeFillTint="0D"/>
      </w:tcPr>
    </w:tblStylePr>
    <w:tblStylePr w:type="band1Vert"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d9e2f2" w:fill="d9e2f2" w:themeFill="accent1" w:themeFillTint="34"/>
      </w:tcPr>
    </w:tblStylePr>
    <w:tblStylePr w:type="band1Vert">
      <w:tcPr>
        <w:shd w:val="clear" w:color="d9e2f2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be5d6" w:fill="fbe5d6" w:themeFill="accent2" w:themeFillTint="32"/>
      </w:tcPr>
    </w:tblStylePr>
    <w:tblStylePr w:type="band1Vert"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ededed" w:fill="ededed" w:themeFill="accent3" w:themeFillTint="34"/>
      </w:tcPr>
    </w:tblStylePr>
    <w:tblStylePr w:type="band1Vert">
      <w:tcPr>
        <w:shd w:val="clear" w:color="ededed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ef2cb" w:fill="fef2cb" w:themeFill="accent4" w:themeFillTint="34"/>
      </w:tcPr>
    </w:tblStylePr>
    <w:tblStylePr w:type="band1Vert">
      <w:tcPr>
        <w:shd w:val="clear" w:color="fef2cb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ddebf6" w:fill="ddebf6" w:themeFill="accent5" w:themeFillTint="34"/>
      </w:tcPr>
    </w:tblStylePr>
    <w:tblStylePr w:type="band1Vert">
      <w:tcPr>
        <w:shd w:val="clear" w:color="ddebf6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e2efd8" w:fill="e2efd8" w:themeFill="accent6" w:themeFillTint="34"/>
      </w:tcPr>
    </w:tblStylePr>
    <w:tblStylePr w:type="band1Vert">
      <w:tcPr>
        <w:shd w:val="clear" w:color="e2efd8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cfdcf0" w:fill="cfdcf0" w:themeFill="accent1" w:themeFillTint="40"/>
      </w:tcPr>
    </w:tblStylePr>
    <w:tblStylePr w:type="band1Vert">
      <w:tcPr>
        <w:shd w:val="clear" w:color="cfdcf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d5e6f4" w:fill="d5e6f4" w:themeFill="accent5" w:themeFillTint="40"/>
      </w:tcPr>
    </w:tblStylePr>
    <w:tblStylePr w:type="band1Vert">
      <w:tcPr>
        <w:shd w:val="clear" w:color="d5e6f4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dbebd0" w:fill="dbebd0" w:themeFill="accent6" w:themeFillTint="40"/>
      </w:tcPr>
    </w:tblStylePr>
    <w:tblStylePr w:type="band1Vert">
      <w:tcPr>
        <w:shd w:val="clear" w:color="dbebd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5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4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cc4e5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ad08f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cf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6f4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bebd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7f7f7f" w:fill="7f7f7f" w:themeFill="text1" w:themeFillTint="80"/>
    </w:tblPr>
    <w:tblStylePr w:type="band1Horz">
      <w:tcPr>
        <w:shd w:val="clear" w:color="7f7f7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4472c4" w:fill="4472c4" w:themeFill="accent1"/>
    </w:tblPr>
    <w:tblStylePr w:type="band1Horz">
      <w:tcPr>
        <w:shd w:val="clear" w:color="4472c4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4472c4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4472c4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4b185" w:fill="f4b185" w:themeFill="accent2" w:themeFillTint="97"/>
    </w:tblPr>
    <w:tblStylePr w:type="band1Horz">
      <w:tcPr>
        <w:shd w:val="clear" w:color="f4b185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4b185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4b185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5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c9c9c9" w:fill="c9c9c9" w:themeFill="accent3" w:themeFillTint="98"/>
    </w:tblPr>
    <w:tblStylePr w:type="band1Horz">
      <w:tcPr>
        <w:shd w:val="clear" w:color="c9c9c9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c9c9c9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c9c9c9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d864" w:fill="ffd864" w:themeFill="accent4" w:themeFillTint="9A"/>
    </w:tblPr>
    <w:tblStylePr w:type="band1Horz">
      <w:tcPr>
        <w:shd w:val="clear" w:color="ffd864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d864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d864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4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9cc4e5" w:fill="9cc4e5" w:themeFill="accent5" w:themeFillTint="9A"/>
    </w:tblPr>
    <w:tblStylePr w:type="band1Horz">
      <w:tcPr>
        <w:shd w:val="clear" w:color="9cc4e5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9cc4e5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9cc4e5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cc4e5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aad08f" w:fill="aad08f" w:themeFill="accent6" w:themeFillTint="98"/>
    </w:tblPr>
    <w:tblStylePr w:type="band1Horz">
      <w:tcPr>
        <w:shd w:val="clear" w:color="aad08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aad08f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aad08f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ad08f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cfdcf0" w:fill="cfdcf0" w:themeFill="accent1" w:themeFillTint="40"/>
      </w:tcPr>
    </w:tblStylePr>
    <w:tblStylePr w:type="band1Vert">
      <w:tcPr>
        <w:shd w:val="clear" w:color="cfdcf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d5e6f4" w:fill="d5e6f4" w:themeFill="accent5" w:themeFillTint="40"/>
      </w:tcPr>
    </w:tblStylePr>
    <w:tblStylePr w:type="band1Vert">
      <w:tcPr>
        <w:shd w:val="clear" w:color="d5e6f4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dbebd0" w:fill="dbebd0" w:themeFill="accent6" w:themeFillTint="40"/>
      </w:tcPr>
    </w:tblStylePr>
    <w:tblStylePr w:type="band1Vert">
      <w:tcPr>
        <w:shd w:val="clear" w:color="dbebd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cfdcf0" w:fill="cfdcf0" w:themeFill="accent1" w:themeFillTint="40"/>
      </w:tcPr>
    </w:tblStylePr>
    <w:tblStylePr w:type="band1Vert">
      <w:tcPr>
        <w:shd w:val="clear" w:color="cfdcf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7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adecb" w:fill="fadecb" w:themeFill="accent2" w:themeFillTint="40"/>
      </w:tcPr>
    </w:tblStylePr>
    <w:tblStylePr w:type="band1Vert"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e8e8e8" w:fill="e8e8e8" w:themeFill="accent3" w:themeFillTint="40"/>
      </w:tcPr>
    </w:tblStylePr>
    <w:tblStylePr w:type="band1Vert"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efbf" w:fill="ffefbf" w:themeFill="accent4" w:themeFillTint="40"/>
      </w:tcPr>
    </w:tblStylePr>
    <w:tblStylePr w:type="band1Vert"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d5e6f4" w:fill="d5e6f4" w:themeFill="accent5" w:themeFillTint="40"/>
      </w:tcPr>
    </w:tblStylePr>
    <w:tblStylePr w:type="band1Vert">
      <w:tcPr>
        <w:shd w:val="clear" w:color="d5e6f4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1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dbebd0" w:fill="dbebd0" w:themeFill="accent6" w:themeFillTint="40"/>
      </w:tcPr>
    </w:tblStylePr>
    <w:tblStylePr w:type="band1Vert">
      <w:tcPr>
        <w:shd w:val="clear" w:color="dbebd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773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</w:style>
  <w:style w:type="table" w:styleId="774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</w:style>
  <w:style w:type="table" w:styleId="775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776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</w:style>
  <w:style w:type="table" w:styleId="777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</w:style>
  <w:style w:type="table" w:styleId="778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779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780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3d3ec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fc8" w:fill="537fc8" w:themeFill="accent1" w:themeFillTint="EA"/>
      </w:tcPr>
    </w:tblStylePr>
  </w:style>
  <w:style w:type="table" w:styleId="781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5" w:fill="f4b185" w:themeFill="accent2" w:themeFillTint="97"/>
      </w:tcPr>
    </w:tblStylePr>
  </w:style>
  <w:style w:type="table" w:styleId="782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deded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5a5a5" w:themeFill="accent3" w:themeFillTint="FE"/>
      </w:tcPr>
    </w:tblStylePr>
  </w:style>
  <w:style w:type="table" w:styleId="783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ef2cb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4" w:fill="ffd864" w:themeFill="accent4" w:themeFillTint="9A"/>
      </w:tcPr>
    </w:tblStylePr>
  </w:style>
  <w:style w:type="table" w:styleId="784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bf6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fill="5b9bd5" w:themeFill="accent5"/>
      </w:tcPr>
    </w:tblStylePr>
  </w:style>
  <w:style w:type="table" w:styleId="785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2efd8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70ad47" w:themeFill="accent6"/>
      </w:tcPr>
    </w:tblStylePr>
  </w:style>
  <w:style w:type="table" w:styleId="786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3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3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paragraph" w:styleId="812">
    <w:name w:val="Heading 1"/>
    <w:basedOn w:val="811"/>
    <w:next w:val="811"/>
    <w:link w:val="816"/>
    <w:uiPriority w:val="99"/>
    <w:qFormat/>
    <w:pPr>
      <w:keepNext/>
      <w:spacing w:before="240" w:after="60" w:line="240" w:lineRule="auto"/>
      <w:widowControl w:val="off"/>
      <w:outlineLvl w:val="0"/>
    </w:pPr>
    <w:rPr>
      <w:rFonts w:ascii="Cambria" w:hAnsi="Cambria" w:eastAsia="Times New Roman" w:cs="Cambria"/>
      <w:b/>
      <w:bCs/>
      <w:sz w:val="32"/>
      <w:szCs w:val="32"/>
      <w:lang w:eastAsia="ru-RU"/>
    </w:rPr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character" w:styleId="816" w:customStyle="1">
    <w:name w:val="Заголовок 1 Знак"/>
    <w:basedOn w:val="813"/>
    <w:link w:val="812"/>
    <w:uiPriority w:val="99"/>
    <w:rPr>
      <w:rFonts w:ascii="Cambria" w:hAnsi="Cambria" w:eastAsia="Times New Roman" w:cs="Cambria"/>
      <w:b/>
      <w:bCs/>
      <w:sz w:val="32"/>
      <w:szCs w:val="32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Прокуратура РФ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Юлия Юрьевна</dc:creator>
  <cp:keywords/>
  <dc:description/>
  <cp:revision>16</cp:revision>
  <dcterms:created xsi:type="dcterms:W3CDTF">2023-12-08T08:11:00Z</dcterms:created>
  <dcterms:modified xsi:type="dcterms:W3CDTF">2024-02-16T06:35:43Z</dcterms:modified>
</cp:coreProperties>
</file>